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882C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/>
          <w:sz w:val="22"/>
          <w:szCs w:val="22"/>
        </w:rPr>
      </w:pPr>
    </w:p>
    <w:p w14:paraId="7AC8B28F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/>
          <w:sz w:val="22"/>
          <w:szCs w:val="22"/>
        </w:rPr>
      </w:pPr>
    </w:p>
    <w:p w14:paraId="00770918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/>
          <w:sz w:val="22"/>
          <w:szCs w:val="22"/>
        </w:rPr>
      </w:pPr>
    </w:p>
    <w:p w14:paraId="71A49BFB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/>
          <w:sz w:val="52"/>
          <w:szCs w:val="52"/>
        </w:rPr>
      </w:pPr>
    </w:p>
    <w:p w14:paraId="5300EA37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Cs/>
          <w:sz w:val="52"/>
          <w:szCs w:val="52"/>
        </w:rPr>
      </w:pPr>
      <w:r w:rsidRPr="00880BBF">
        <w:rPr>
          <w:rFonts w:ascii="Calibri" w:hAnsi="Calibri" w:cs="Calibri"/>
          <w:b/>
          <w:iCs/>
          <w:sz w:val="52"/>
          <w:szCs w:val="52"/>
        </w:rPr>
        <w:t>MONTANA PERKINS V</w:t>
      </w:r>
    </w:p>
    <w:p w14:paraId="652612ED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Cs/>
          <w:sz w:val="52"/>
          <w:szCs w:val="52"/>
          <w:u w:val="none"/>
        </w:rPr>
      </w:pPr>
      <w:r w:rsidRPr="00880BBF">
        <w:rPr>
          <w:rFonts w:ascii="Calibri" w:hAnsi="Calibri" w:cs="Calibri"/>
          <w:b/>
          <w:iCs/>
          <w:sz w:val="52"/>
          <w:szCs w:val="52"/>
          <w:u w:val="none"/>
        </w:rPr>
        <w:t xml:space="preserve">COMPREHENSIVE LOCAL NEEDS ASSESSMENT </w:t>
      </w:r>
    </w:p>
    <w:p w14:paraId="00B0EADD" w14:textId="6ADF02F9" w:rsidR="009232ED" w:rsidRPr="00880BBF" w:rsidRDefault="00BC2F44" w:rsidP="009232ED">
      <w:pPr>
        <w:pStyle w:val="CoverPageTitle-CTETemplate"/>
        <w:rPr>
          <w:rFonts w:ascii="Calibri" w:hAnsi="Calibri" w:cs="Calibri"/>
          <w:sz w:val="52"/>
          <w:szCs w:val="52"/>
          <w:u w:val="none"/>
        </w:rPr>
      </w:pPr>
      <w:r>
        <w:rPr>
          <w:rFonts w:ascii="Calibri" w:hAnsi="Calibri" w:cs="Calibri"/>
          <w:b/>
          <w:i/>
          <w:sz w:val="52"/>
          <w:szCs w:val="52"/>
          <w:u w:val="none"/>
        </w:rPr>
        <w:t xml:space="preserve">Update </w:t>
      </w:r>
      <w:r w:rsidR="00225904">
        <w:rPr>
          <w:rFonts w:ascii="Calibri" w:hAnsi="Calibri" w:cs="Calibri"/>
          <w:b/>
          <w:i/>
          <w:sz w:val="52"/>
          <w:szCs w:val="52"/>
          <w:u w:val="none"/>
        </w:rPr>
        <w:t>Worksheets</w:t>
      </w:r>
    </w:p>
    <w:p w14:paraId="1E2ECED1" w14:textId="77777777" w:rsidR="009232ED" w:rsidRPr="00880BBF" w:rsidRDefault="009232ED" w:rsidP="009232ED">
      <w:pPr>
        <w:pStyle w:val="CoverPageTitle-CTETemplate"/>
        <w:rPr>
          <w:rFonts w:ascii="Calibri" w:hAnsi="Calibri" w:cs="Calibri"/>
          <w:b/>
          <w:i/>
          <w:sz w:val="52"/>
          <w:szCs w:val="52"/>
        </w:rPr>
      </w:pPr>
    </w:p>
    <w:p w14:paraId="04C0FA0D" w14:textId="77777777" w:rsidR="009232ED" w:rsidRPr="00880BBF" w:rsidRDefault="009232ED" w:rsidP="009232ED">
      <w:pPr>
        <w:pStyle w:val="Subtitle-CTETemplate"/>
        <w:rPr>
          <w:rFonts w:ascii="Calibri" w:hAnsi="Calibri" w:cs="Calibri"/>
          <w:b/>
          <w:sz w:val="52"/>
          <w:szCs w:val="52"/>
        </w:rPr>
      </w:pPr>
      <w:r w:rsidRPr="00880BBF">
        <w:rPr>
          <w:rFonts w:ascii="Calibri" w:hAnsi="Calibri" w:cs="Calibri"/>
          <w:b/>
          <w:sz w:val="52"/>
          <w:szCs w:val="52"/>
        </w:rPr>
        <w:t>2022-2024</w:t>
      </w:r>
    </w:p>
    <w:p w14:paraId="348D6AB8" w14:textId="0A389C22" w:rsidR="009232ED" w:rsidRDefault="009232ED" w:rsidP="00BC2F44">
      <w:pPr>
        <w:rPr>
          <w:rFonts w:ascii="Calibri" w:hAnsi="Calibri" w:cs="Calibri"/>
          <w:sz w:val="22"/>
          <w:szCs w:val="22"/>
        </w:rPr>
      </w:pPr>
    </w:p>
    <w:p w14:paraId="38CA7CD9" w14:textId="77777777" w:rsidR="00BC2F44" w:rsidRPr="00880BBF" w:rsidRDefault="00BC2F44" w:rsidP="00BC2F44">
      <w:pPr>
        <w:rPr>
          <w:rFonts w:ascii="Calibri" w:hAnsi="Calibri" w:cs="Calibri"/>
          <w:sz w:val="22"/>
          <w:szCs w:val="22"/>
        </w:rPr>
      </w:pPr>
    </w:p>
    <w:p w14:paraId="3043DECD" w14:textId="77777777" w:rsidR="009232ED" w:rsidRPr="00880BBF" w:rsidRDefault="009232ED" w:rsidP="009232ED">
      <w:pPr>
        <w:jc w:val="center"/>
        <w:rPr>
          <w:rFonts w:ascii="Calibri" w:hAnsi="Calibri" w:cs="Calibri"/>
          <w:sz w:val="22"/>
          <w:szCs w:val="22"/>
        </w:rPr>
      </w:pPr>
      <w:r w:rsidRPr="00880BBF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75003A57" wp14:editId="24CB08DA">
            <wp:extent cx="4286250" cy="847725"/>
            <wp:effectExtent l="0" t="0" r="0" b="0"/>
            <wp:docPr id="1" name="Picture 7" descr="OCHE-Seal-Banner-good-for-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CHE-Seal-Banner-good-for-letter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37675" w14:textId="77777777" w:rsidR="009232ED" w:rsidRPr="00880BBF" w:rsidRDefault="009232ED" w:rsidP="009232ED">
      <w:pPr>
        <w:rPr>
          <w:rFonts w:ascii="Calibri" w:hAnsi="Calibri" w:cs="Calibri"/>
          <w:sz w:val="22"/>
          <w:szCs w:val="22"/>
        </w:rPr>
      </w:pPr>
    </w:p>
    <w:p w14:paraId="6376FB76" w14:textId="6CBB7011" w:rsidR="00C20FA4" w:rsidRPr="00F71F3A" w:rsidRDefault="009232ED" w:rsidP="00F71F3A">
      <w:pPr>
        <w:jc w:val="center"/>
        <w:rPr>
          <w:rFonts w:ascii="Calibri" w:hAnsi="Calibri" w:cs="Calibri"/>
          <w:sz w:val="22"/>
          <w:szCs w:val="22"/>
        </w:rPr>
      </w:pPr>
      <w:r w:rsidRPr="00880BBF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C1F66BE" wp14:editId="7BB54ECD">
            <wp:extent cx="3261684" cy="1250315"/>
            <wp:effectExtent l="0" t="0" r="0" b="6985"/>
            <wp:docPr id="2" name="Picture 2" descr="CTE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8528" cy="12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AAFE7" w14:textId="77777777" w:rsidR="00C20FA4" w:rsidRDefault="00C20FA4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</w:p>
    <w:p w14:paraId="5C64D907" w14:textId="77777777" w:rsidR="00C20FA4" w:rsidRDefault="00C20FA4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</w:p>
    <w:p w14:paraId="2BB0901C" w14:textId="6E20AF89" w:rsidR="00C20FA4" w:rsidRPr="007C486F" w:rsidRDefault="00DD12ED" w:rsidP="00C20FA4">
      <w:pPr>
        <w:pStyle w:val="NoSpacing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College</w:t>
      </w:r>
      <w:r w:rsidR="00C20FA4" w:rsidRPr="00663CB8">
        <w:rPr>
          <w:rFonts w:ascii="Myriad Pro" w:hAnsi="Myriad Pro"/>
          <w:b/>
          <w:bCs/>
          <w:sz w:val="24"/>
          <w:szCs w:val="24"/>
        </w:rPr>
        <w:t xml:space="preserve"> Name:</w:t>
      </w:r>
      <w:r w:rsidR="00C20FA4" w:rsidRPr="007C486F">
        <w:rPr>
          <w:rFonts w:ascii="Myriad Pro" w:hAnsi="Myriad Pro"/>
          <w:sz w:val="24"/>
          <w:szCs w:val="24"/>
        </w:rPr>
        <w:t xml:space="preserve"> </w:t>
      </w:r>
      <w:r w:rsidR="00C20FA4" w:rsidRPr="007C486F">
        <w:rPr>
          <w:rFonts w:ascii="Myriad Pro" w:hAnsi="Myriad Pro"/>
          <w:sz w:val="24"/>
          <w:szCs w:val="24"/>
        </w:rPr>
        <w:tab/>
      </w:r>
      <w:r w:rsidR="00C20FA4" w:rsidRPr="007C486F">
        <w:rPr>
          <w:rFonts w:ascii="Myriad Pro" w:hAnsi="Myriad Pro"/>
          <w:sz w:val="24"/>
          <w:szCs w:val="24"/>
        </w:rPr>
        <w:tab/>
      </w:r>
      <w:r w:rsidR="00FF38E8">
        <w:rPr>
          <w:rFonts w:ascii="Myriad Pro" w:hAnsi="Myriad Pro"/>
          <w:sz w:val="24"/>
          <w:szCs w:val="24"/>
        </w:rPr>
        <w:tab/>
      </w:r>
      <w:r w:rsidR="009F5A42">
        <w:rPr>
          <w:rFonts w:ascii="Myriad Pro" w:hAnsi="Myriad Pro"/>
          <w:sz w:val="24"/>
          <w:szCs w:val="24"/>
        </w:rPr>
        <w:tab/>
      </w:r>
      <w:sdt>
        <w:sdtPr>
          <w:rPr>
            <w:rFonts w:ascii="Myriad Pro" w:hAnsi="Myriad Pro"/>
            <w:sz w:val="24"/>
            <w:szCs w:val="24"/>
          </w:rPr>
          <w:id w:val="-749650642"/>
          <w:placeholder>
            <w:docPart w:val="8DC7B0772768424598BC74DBB7CCE21D"/>
          </w:placeholder>
        </w:sdtPr>
        <w:sdtEndPr/>
        <w:sdtContent>
          <w:r w:rsidR="0073165E">
            <w:rPr>
              <w:rFonts w:ascii="Myriad Pro" w:hAnsi="Myriad Pro"/>
              <w:sz w:val="24"/>
              <w:szCs w:val="24"/>
            </w:rPr>
            <w:t>Salish Kootenai College</w:t>
          </w:r>
        </w:sdtContent>
      </w:sdt>
    </w:p>
    <w:p w14:paraId="2F954562" w14:textId="7D6324C2" w:rsidR="00C20FA4" w:rsidRPr="007C486F" w:rsidRDefault="00C20FA4" w:rsidP="00C20FA4">
      <w:pPr>
        <w:pStyle w:val="NoSpacing"/>
        <w:rPr>
          <w:rFonts w:ascii="Myriad Pro" w:hAnsi="Myriad Pro"/>
          <w:sz w:val="24"/>
          <w:szCs w:val="24"/>
        </w:rPr>
      </w:pPr>
      <w:r w:rsidRPr="00663CB8">
        <w:rPr>
          <w:rFonts w:ascii="Myriad Pro" w:hAnsi="Myriad Pro"/>
          <w:b/>
          <w:bCs/>
          <w:sz w:val="24"/>
          <w:szCs w:val="24"/>
        </w:rPr>
        <w:t>Authorized Representative:</w:t>
      </w:r>
      <w:r w:rsidRPr="007C486F">
        <w:rPr>
          <w:rFonts w:ascii="Myriad Pro" w:hAnsi="Myriad Pro"/>
          <w:sz w:val="24"/>
          <w:szCs w:val="24"/>
        </w:rPr>
        <w:t xml:space="preserve"> </w:t>
      </w:r>
      <w:r w:rsidRPr="007C486F">
        <w:rPr>
          <w:rFonts w:ascii="Myriad Pro" w:hAnsi="Myriad Pro"/>
          <w:sz w:val="24"/>
          <w:szCs w:val="24"/>
        </w:rPr>
        <w:tab/>
      </w:r>
      <w:r w:rsidR="009F5A42">
        <w:rPr>
          <w:rFonts w:ascii="Myriad Pro" w:hAnsi="Myriad Pro"/>
          <w:sz w:val="24"/>
          <w:szCs w:val="24"/>
        </w:rPr>
        <w:tab/>
      </w:r>
      <w:sdt>
        <w:sdtPr>
          <w:rPr>
            <w:rFonts w:ascii="Myriad Pro" w:hAnsi="Myriad Pro"/>
            <w:sz w:val="24"/>
            <w:szCs w:val="24"/>
          </w:rPr>
          <w:id w:val="-31108159"/>
          <w:placeholder>
            <w:docPart w:val="8DC7B0772768424598BC74DBB7CCE21D"/>
          </w:placeholder>
        </w:sdtPr>
        <w:sdtEndPr/>
        <w:sdtContent>
          <w:r w:rsidR="0073165E">
            <w:rPr>
              <w:rFonts w:ascii="Myriad Pro" w:hAnsi="Myriad Pro"/>
              <w:sz w:val="24"/>
              <w:szCs w:val="24"/>
            </w:rPr>
            <w:t>Stacey Sherwin, Ph.D.</w:t>
          </w:r>
        </w:sdtContent>
      </w:sdt>
    </w:p>
    <w:p w14:paraId="15341741" w14:textId="192CFE33" w:rsidR="00C20FA4" w:rsidRPr="007C486F" w:rsidRDefault="00C20FA4" w:rsidP="00C20FA4">
      <w:pPr>
        <w:pStyle w:val="NoSpacing"/>
        <w:rPr>
          <w:rFonts w:ascii="Myriad Pro" w:hAnsi="Myriad Pro"/>
          <w:sz w:val="24"/>
          <w:szCs w:val="24"/>
        </w:rPr>
      </w:pPr>
      <w:r w:rsidRPr="00663CB8">
        <w:rPr>
          <w:rFonts w:ascii="Myriad Pro" w:hAnsi="Myriad Pro"/>
          <w:b/>
          <w:bCs/>
          <w:sz w:val="24"/>
          <w:szCs w:val="24"/>
        </w:rPr>
        <w:t>Date of Submission:</w:t>
      </w:r>
      <w:r w:rsidRPr="007C486F">
        <w:rPr>
          <w:rFonts w:ascii="Myriad Pro" w:hAnsi="Myriad Pro"/>
          <w:sz w:val="24"/>
          <w:szCs w:val="24"/>
        </w:rPr>
        <w:t xml:space="preserve"> </w:t>
      </w:r>
      <w:r w:rsidRPr="007C486F">
        <w:rPr>
          <w:rFonts w:ascii="Myriad Pro" w:hAnsi="Myriad Pro"/>
          <w:sz w:val="24"/>
          <w:szCs w:val="24"/>
        </w:rPr>
        <w:tab/>
      </w:r>
      <w:r w:rsidRPr="007C486F">
        <w:rPr>
          <w:rFonts w:ascii="Myriad Pro" w:hAnsi="Myriad Pro"/>
          <w:sz w:val="24"/>
          <w:szCs w:val="24"/>
        </w:rPr>
        <w:tab/>
      </w:r>
      <w:r w:rsidR="009F5A42">
        <w:rPr>
          <w:rFonts w:ascii="Myriad Pro" w:hAnsi="Myriad Pro"/>
          <w:sz w:val="24"/>
          <w:szCs w:val="24"/>
        </w:rPr>
        <w:tab/>
      </w:r>
      <w:sdt>
        <w:sdtPr>
          <w:rPr>
            <w:rFonts w:ascii="Myriad Pro" w:hAnsi="Myriad Pro"/>
            <w:sz w:val="24"/>
            <w:szCs w:val="24"/>
          </w:rPr>
          <w:id w:val="1622810013"/>
          <w:placeholder>
            <w:docPart w:val="8DC7B0772768424598BC74DBB7CCE21D"/>
          </w:placeholder>
        </w:sdtPr>
        <w:sdtEndPr/>
        <w:sdtContent>
          <w:r w:rsidR="0073165E">
            <w:rPr>
              <w:rFonts w:ascii="Myriad Pro" w:hAnsi="Myriad Pro"/>
              <w:sz w:val="24"/>
              <w:szCs w:val="24"/>
            </w:rPr>
            <w:t>5.20.2022</w:t>
          </w:r>
          <w:bookmarkStart w:id="0" w:name="_GoBack"/>
          <w:bookmarkEnd w:id="0"/>
        </w:sdtContent>
      </w:sdt>
    </w:p>
    <w:p w14:paraId="0A6CC26D" w14:textId="77777777" w:rsidR="00C20FA4" w:rsidRDefault="00C20FA4" w:rsidP="00C20FA4">
      <w:pPr>
        <w:pStyle w:val="NoSpacing"/>
        <w:rPr>
          <w:rFonts w:ascii="Myriad Pro" w:hAnsi="Myriad Pro"/>
        </w:rPr>
      </w:pPr>
    </w:p>
    <w:p w14:paraId="096B90B7" w14:textId="77777777" w:rsidR="00C20FA4" w:rsidRPr="00E8330A" w:rsidRDefault="00C20FA4" w:rsidP="00C20FA4">
      <w:pPr>
        <w:pStyle w:val="NoSpacing"/>
        <w:rPr>
          <w:rFonts w:ascii="Myriad Pro" w:hAnsi="Myriad Pro"/>
          <w:b/>
          <w:bCs/>
          <w:color w:val="0099A8"/>
          <w:sz w:val="24"/>
          <w:szCs w:val="24"/>
        </w:rPr>
      </w:pPr>
      <w:r>
        <w:rPr>
          <w:rFonts w:ascii="Myriad Pro" w:hAnsi="Myriad Pro"/>
          <w:b/>
          <w:bCs/>
          <w:color w:val="0099A8"/>
          <w:sz w:val="24"/>
          <w:szCs w:val="24"/>
        </w:rPr>
        <w:t xml:space="preserve">Process Worksheet </w:t>
      </w:r>
      <w:r w:rsidRPr="00E8330A">
        <w:rPr>
          <w:rFonts w:ascii="Myriad Pro" w:hAnsi="Myriad Pro"/>
          <w:b/>
          <w:bCs/>
          <w:color w:val="0099A8"/>
          <w:sz w:val="24"/>
          <w:szCs w:val="24"/>
        </w:rPr>
        <w:t xml:space="preserve">1: </w:t>
      </w:r>
    </w:p>
    <w:p w14:paraId="7E9B6A09" w14:textId="77777777" w:rsidR="00C20FA4" w:rsidRDefault="00C20FA4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</w:p>
    <w:p w14:paraId="2B3FC5E5" w14:textId="12CF445F" w:rsidR="00C20FA4" w:rsidRPr="002B01FE" w:rsidRDefault="00C20FA4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  <w:r w:rsidRPr="002B01FE">
        <w:rPr>
          <w:rFonts w:ascii="Myriad Pro" w:hAnsi="Myriad Pro"/>
          <w:b/>
          <w:bCs/>
          <w:sz w:val="24"/>
          <w:szCs w:val="24"/>
        </w:rPr>
        <w:t>Based on new information and available updated data (</w:t>
      </w:r>
      <w:r w:rsidR="00986B88">
        <w:rPr>
          <w:rFonts w:ascii="Myriad Pro" w:hAnsi="Myriad Pro"/>
          <w:b/>
          <w:bCs/>
          <w:sz w:val="24"/>
          <w:szCs w:val="24"/>
        </w:rPr>
        <w:t xml:space="preserve">including </w:t>
      </w:r>
      <w:r w:rsidRPr="002B01FE">
        <w:rPr>
          <w:rFonts w:ascii="Myriad Pro" w:hAnsi="Myriad Pro"/>
          <w:b/>
          <w:bCs/>
          <w:sz w:val="24"/>
          <w:szCs w:val="24"/>
        </w:rPr>
        <w:t xml:space="preserve">labor market, </w:t>
      </w:r>
      <w:proofErr w:type="spellStart"/>
      <w:r w:rsidRPr="002B01FE">
        <w:rPr>
          <w:rFonts w:ascii="Myriad Pro" w:hAnsi="Myriad Pro"/>
          <w:b/>
          <w:bCs/>
          <w:sz w:val="24"/>
          <w:szCs w:val="24"/>
        </w:rPr>
        <w:t>CTE</w:t>
      </w:r>
      <w:proofErr w:type="spellEnd"/>
      <w:r w:rsidRPr="002B01FE">
        <w:rPr>
          <w:rFonts w:ascii="Myriad Pro" w:hAnsi="Myriad Pro"/>
          <w:b/>
          <w:bCs/>
          <w:sz w:val="24"/>
          <w:szCs w:val="24"/>
        </w:rPr>
        <w:t xml:space="preserve"> program, and student), has anything significantly impacted </w:t>
      </w:r>
      <w:r w:rsidR="004F65DF">
        <w:rPr>
          <w:rFonts w:ascii="Myriad Pro" w:hAnsi="Myriad Pro"/>
          <w:b/>
          <w:bCs/>
          <w:sz w:val="24"/>
          <w:szCs w:val="24"/>
        </w:rPr>
        <w:t>the Identified Needs</w:t>
      </w:r>
      <w:r w:rsidR="008C57A8">
        <w:rPr>
          <w:rFonts w:ascii="Myriad Pro" w:hAnsi="Myriad Pro"/>
          <w:b/>
          <w:bCs/>
          <w:sz w:val="24"/>
          <w:szCs w:val="24"/>
        </w:rPr>
        <w:t xml:space="preserve"> outlined in </w:t>
      </w:r>
      <w:r w:rsidR="006E498A">
        <w:rPr>
          <w:rFonts w:ascii="Myriad Pro" w:hAnsi="Myriad Pro"/>
          <w:b/>
          <w:bCs/>
          <w:sz w:val="24"/>
          <w:szCs w:val="24"/>
        </w:rPr>
        <w:t xml:space="preserve">the original </w:t>
      </w:r>
      <w:proofErr w:type="spellStart"/>
      <w:r w:rsidR="006E498A">
        <w:rPr>
          <w:rFonts w:ascii="Myriad Pro" w:hAnsi="Myriad Pro"/>
          <w:b/>
          <w:bCs/>
          <w:sz w:val="24"/>
          <w:szCs w:val="24"/>
        </w:rPr>
        <w:t>CLNA</w:t>
      </w:r>
      <w:proofErr w:type="spellEnd"/>
      <w:r w:rsidR="006E498A">
        <w:rPr>
          <w:rFonts w:ascii="Myriad Pro" w:hAnsi="Myriad Pro"/>
          <w:b/>
          <w:bCs/>
          <w:sz w:val="24"/>
          <w:szCs w:val="24"/>
        </w:rPr>
        <w:t xml:space="preserve"> in the following areas?</w:t>
      </w:r>
    </w:p>
    <w:p w14:paraId="4897A7F3" w14:textId="77777777" w:rsidR="00C20FA4" w:rsidRPr="002B01FE" w:rsidRDefault="00C20FA4" w:rsidP="00C20FA4">
      <w:pPr>
        <w:pStyle w:val="NoSpacing"/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060"/>
        <w:gridCol w:w="2160"/>
        <w:gridCol w:w="7020"/>
      </w:tblGrid>
      <w:tr w:rsidR="00C20FA4" w:rsidRPr="002B01FE" w14:paraId="457D7235" w14:textId="77777777" w:rsidTr="00164B3B">
        <w:tc>
          <w:tcPr>
            <w:tcW w:w="3060" w:type="dxa"/>
            <w:shd w:val="clear" w:color="auto" w:fill="0099A8"/>
            <w:vAlign w:val="center"/>
          </w:tcPr>
          <w:p w14:paraId="7D12F33C" w14:textId="21A2E208" w:rsidR="00C20FA4" w:rsidRPr="007C486F" w:rsidRDefault="00696AAA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Section of </w:t>
            </w:r>
            <w:proofErr w:type="spellStart"/>
            <w:r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CLNA</w:t>
            </w:r>
            <w:proofErr w:type="spellEnd"/>
          </w:p>
        </w:tc>
        <w:tc>
          <w:tcPr>
            <w:tcW w:w="2160" w:type="dxa"/>
            <w:shd w:val="clear" w:color="auto" w:fill="0099A8"/>
            <w:vAlign w:val="center"/>
          </w:tcPr>
          <w:p w14:paraId="5B0A3C75" w14:textId="1716C507" w:rsidR="00C20FA4" w:rsidRPr="007C486F" w:rsidRDefault="00C20FA4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Significant Impact</w:t>
            </w:r>
            <w:r w:rsidR="00403266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 on Identified Needs</w:t>
            </w:r>
            <w:r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7020" w:type="dxa"/>
            <w:shd w:val="clear" w:color="auto" w:fill="0099A8"/>
            <w:vAlign w:val="center"/>
          </w:tcPr>
          <w:p w14:paraId="32BE317E" w14:textId="77777777" w:rsidR="00C20FA4" w:rsidRPr="007C486F" w:rsidRDefault="00C20FA4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C20FA4" w:rsidRPr="002B01FE" w14:paraId="67B9691B" w14:textId="77777777" w:rsidTr="00164B3B">
        <w:tc>
          <w:tcPr>
            <w:tcW w:w="3060" w:type="dxa"/>
            <w:vAlign w:val="center"/>
          </w:tcPr>
          <w:p w14:paraId="7893475F" w14:textId="6B04C6EF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1: </w:t>
            </w:r>
            <w:r w:rsidR="008118F4">
              <w:rPr>
                <w:rFonts w:ascii="Myriad Pro" w:hAnsi="Myriad Pro"/>
                <w:sz w:val="20"/>
                <w:szCs w:val="20"/>
              </w:rPr>
              <w:t>Student Performance</w:t>
            </w:r>
          </w:p>
        </w:tc>
        <w:tc>
          <w:tcPr>
            <w:tcW w:w="2160" w:type="dxa"/>
            <w:vAlign w:val="center"/>
          </w:tcPr>
          <w:p w14:paraId="45260BD6" w14:textId="4FE73CF3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6523682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0721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5FA0E230" w14:textId="77777777" w:rsidR="00C20FA4" w:rsidRPr="007C486F" w:rsidRDefault="00C20FA4" w:rsidP="00164B3B">
            <w:pPr>
              <w:pStyle w:val="NoSpacing"/>
              <w:rPr>
                <w:rFonts w:ascii="Myriad Pro" w:hAnsi="Myriad Pro"/>
              </w:rPr>
            </w:pPr>
          </w:p>
          <w:p w14:paraId="5A829DF4" w14:textId="43AAFCD4" w:rsidR="00C20FA4" w:rsidRDefault="00777D56" w:rsidP="00164B3B">
            <w:pPr>
              <w:pStyle w:val="NoSpacing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SKC’s</w:t>
            </w:r>
            <w:proofErr w:type="spellEnd"/>
            <w:r>
              <w:rPr>
                <w:rFonts w:ascii="Myriad Pro" w:hAnsi="Myriad Pro"/>
              </w:rPr>
              <w:t xml:space="preserve"> retention rate for all academic programs has decreased in the last two years, primarily as a result of stressors related to COVID-19 such as mental and financial health. </w:t>
            </w:r>
            <w:proofErr w:type="spellStart"/>
            <w:r w:rsidR="0085542D">
              <w:rPr>
                <w:rFonts w:ascii="Myriad Pro" w:hAnsi="Myriad Pro"/>
              </w:rPr>
              <w:t>SKC</w:t>
            </w:r>
            <w:proofErr w:type="spellEnd"/>
            <w:r w:rsidR="0085542D">
              <w:rPr>
                <w:rFonts w:ascii="Myriad Pro" w:hAnsi="Myriad Pro"/>
              </w:rPr>
              <w:t xml:space="preserve"> has implemented additional mental health services, services such as food boxes, is adding infant day care, and has reduced tuition costs for the year in an attempt to assist students. </w:t>
            </w:r>
          </w:p>
          <w:p w14:paraId="3A123649" w14:textId="0458B774" w:rsidR="00240A0B" w:rsidRPr="007C486F" w:rsidRDefault="00240A0B" w:rsidP="00164B3B">
            <w:pPr>
              <w:pStyle w:val="NoSpacing"/>
              <w:rPr>
                <w:rFonts w:ascii="Myriad Pro" w:hAnsi="Myriad Pro"/>
              </w:rPr>
            </w:pPr>
          </w:p>
        </w:tc>
      </w:tr>
      <w:tr w:rsidR="00C20FA4" w:rsidRPr="002B01FE" w14:paraId="2B2BBF3E" w14:textId="77777777" w:rsidTr="00164B3B">
        <w:tc>
          <w:tcPr>
            <w:tcW w:w="3060" w:type="dxa"/>
            <w:vAlign w:val="center"/>
          </w:tcPr>
          <w:p w14:paraId="4F0221CD" w14:textId="0F131BEA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2: </w:t>
            </w:r>
            <w:r w:rsidR="008118F4">
              <w:rPr>
                <w:rFonts w:ascii="Myriad Pro" w:hAnsi="Myriad Pro"/>
                <w:sz w:val="20"/>
                <w:szCs w:val="20"/>
              </w:rPr>
              <w:t>Size, Scope and Quality</w:t>
            </w:r>
          </w:p>
        </w:tc>
        <w:tc>
          <w:tcPr>
            <w:tcW w:w="2160" w:type="dxa"/>
            <w:vAlign w:val="center"/>
          </w:tcPr>
          <w:p w14:paraId="1FD78C04" w14:textId="05C92AFA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6670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105175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73F45F77" w14:textId="490B1361" w:rsidR="00C20FA4" w:rsidRDefault="0085542D" w:rsidP="00164B3B">
            <w:pPr>
              <w:pStyle w:val="NoSpacing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SKC</w:t>
            </w:r>
            <w:proofErr w:type="spellEnd"/>
            <w:r>
              <w:rPr>
                <w:rFonts w:ascii="Myriad Pro" w:hAnsi="Myriad Pro"/>
              </w:rPr>
              <w:t xml:space="preserve"> continues to work to align programs with third party standards, e.g. external specialized accreditation standards. Currently, the Medical Assisting and Forestry Programs are in the process of applying for/obtaining external accreditation by their respective accrediting entities. </w:t>
            </w:r>
          </w:p>
          <w:p w14:paraId="0377EF80" w14:textId="5FF2780C" w:rsidR="00240A0B" w:rsidRPr="007C486F" w:rsidRDefault="00240A0B" w:rsidP="00164B3B">
            <w:pPr>
              <w:pStyle w:val="NoSpacing"/>
              <w:rPr>
                <w:rFonts w:ascii="Myriad Pro" w:hAnsi="Myriad Pro"/>
              </w:rPr>
            </w:pPr>
          </w:p>
        </w:tc>
      </w:tr>
      <w:tr w:rsidR="00C20FA4" w:rsidRPr="002B01FE" w14:paraId="0555707A" w14:textId="77777777" w:rsidTr="00164B3B">
        <w:tc>
          <w:tcPr>
            <w:tcW w:w="3060" w:type="dxa"/>
            <w:vAlign w:val="center"/>
          </w:tcPr>
          <w:p w14:paraId="79500042" w14:textId="0C0CF5A1" w:rsidR="00C20FA4" w:rsidRPr="002B01FE" w:rsidRDefault="00C20FA4" w:rsidP="00391814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3: </w:t>
            </w:r>
            <w:r w:rsidR="00391814">
              <w:rPr>
                <w:rFonts w:ascii="Myriad Pro" w:hAnsi="Myriad Pro"/>
                <w:sz w:val="20"/>
                <w:szCs w:val="20"/>
              </w:rPr>
              <w:t>Labor Market Alignment</w:t>
            </w:r>
            <w:r w:rsidRPr="002B01FE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0D26E66E" w14:textId="53CC2DEB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455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8614385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2862C694" w14:textId="77777777" w:rsidR="00C20FA4" w:rsidRPr="007C486F" w:rsidRDefault="00C20FA4" w:rsidP="00164B3B">
            <w:pPr>
              <w:pStyle w:val="NoSpacing"/>
              <w:rPr>
                <w:rFonts w:ascii="Myriad Pro" w:hAnsi="Myriad Pro"/>
              </w:rPr>
            </w:pPr>
          </w:p>
          <w:p w14:paraId="5BB1B185" w14:textId="156EC1C4" w:rsidR="00C20FA4" w:rsidRDefault="0085542D" w:rsidP="00164B3B">
            <w:pPr>
              <w:pStyle w:val="NoSpacing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SKC’s</w:t>
            </w:r>
            <w:proofErr w:type="spellEnd"/>
            <w:r>
              <w:rPr>
                <w:rFonts w:ascii="Myriad Pro" w:hAnsi="Myriad Pro"/>
              </w:rPr>
              <w:t xml:space="preserve"> programs continue to be aligned with labor market demands and the needs of the Confederated Salish &amp; Kootenai Tribes. </w:t>
            </w:r>
            <w:r w:rsidR="0073165E">
              <w:rPr>
                <w:rFonts w:ascii="Myriad Pro" w:hAnsi="Myriad Pro"/>
              </w:rPr>
              <w:t xml:space="preserve">The College added two Certificate of Completion Programs for 2022-2023 and is adding short-term workforce programs as well.  </w:t>
            </w:r>
            <w:proofErr w:type="spellStart"/>
            <w:r w:rsidR="0073165E">
              <w:rPr>
                <w:rFonts w:ascii="Myriad Pro" w:hAnsi="Myriad Pro"/>
              </w:rPr>
              <w:t>CSKT</w:t>
            </w:r>
            <w:proofErr w:type="spellEnd"/>
            <w:r w:rsidR="0073165E">
              <w:rPr>
                <w:rFonts w:ascii="Myriad Pro" w:hAnsi="Myriad Pro"/>
              </w:rPr>
              <w:t xml:space="preserve"> Council and </w:t>
            </w:r>
            <w:proofErr w:type="spellStart"/>
            <w:r w:rsidR="0073165E">
              <w:rPr>
                <w:rFonts w:ascii="Myriad Pro" w:hAnsi="Myriad Pro"/>
              </w:rPr>
              <w:t>CSKT</w:t>
            </w:r>
            <w:proofErr w:type="spellEnd"/>
            <w:r w:rsidR="0073165E">
              <w:rPr>
                <w:rFonts w:ascii="Myriad Pro" w:hAnsi="Myriad Pro"/>
              </w:rPr>
              <w:t xml:space="preserve"> economic development documents emphasize the need for more individuals with degrees in the Trades and shorter training programs designed for out-of-work individuals. </w:t>
            </w:r>
          </w:p>
          <w:p w14:paraId="7068F394" w14:textId="00FF42C8" w:rsidR="00240A0B" w:rsidRPr="007C486F" w:rsidRDefault="00240A0B" w:rsidP="00164B3B">
            <w:pPr>
              <w:pStyle w:val="NoSpacing"/>
              <w:rPr>
                <w:rFonts w:ascii="Myriad Pro" w:hAnsi="Myriad Pro"/>
              </w:rPr>
            </w:pPr>
          </w:p>
        </w:tc>
      </w:tr>
      <w:tr w:rsidR="00C20FA4" w:rsidRPr="002B01FE" w14:paraId="16988795" w14:textId="77777777" w:rsidTr="00164B3B">
        <w:tc>
          <w:tcPr>
            <w:tcW w:w="3060" w:type="dxa"/>
            <w:vAlign w:val="center"/>
          </w:tcPr>
          <w:p w14:paraId="39C8A79A" w14:textId="7134696E" w:rsidR="00C20FA4" w:rsidRPr="002B01FE" w:rsidRDefault="00C20FA4" w:rsidP="00164B3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4: </w:t>
            </w:r>
            <w:r w:rsidR="00391814">
              <w:rPr>
                <w:rFonts w:ascii="Myriad Pro" w:hAnsi="Myriad Pro"/>
                <w:sz w:val="20"/>
                <w:szCs w:val="20"/>
              </w:rPr>
              <w:t xml:space="preserve">Progress Toward Implementing </w:t>
            </w:r>
            <w:proofErr w:type="spellStart"/>
            <w:r w:rsidR="00391814">
              <w:rPr>
                <w:rFonts w:ascii="Myriad Pro" w:hAnsi="Myriad Pro"/>
                <w:sz w:val="20"/>
                <w:szCs w:val="20"/>
              </w:rPr>
              <w:t>CTE</w:t>
            </w:r>
            <w:proofErr w:type="spellEnd"/>
            <w:r w:rsidR="00A346ED">
              <w:rPr>
                <w:rFonts w:ascii="Myriad Pro" w:hAnsi="Myriad Pro"/>
                <w:sz w:val="20"/>
                <w:szCs w:val="20"/>
              </w:rPr>
              <w:t xml:space="preserve"> Programs/Programs of Study</w:t>
            </w:r>
            <w:r w:rsidRPr="002B01FE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1D28A06" w14:textId="3AB8DE5B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44214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2554004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6505E22B" w14:textId="4AF4245E" w:rsidR="00C20FA4" w:rsidRDefault="00C20FA4" w:rsidP="00164B3B">
            <w:pPr>
              <w:pStyle w:val="NoSpacing"/>
              <w:rPr>
                <w:rFonts w:ascii="Myriad Pro" w:hAnsi="Myriad Pro"/>
              </w:rPr>
            </w:pPr>
          </w:p>
          <w:p w14:paraId="1324026B" w14:textId="42C579DF" w:rsidR="00240A0B" w:rsidRPr="007C486F" w:rsidRDefault="0073165E" w:rsidP="00164B3B">
            <w:pPr>
              <w:pStyle w:val="NoSpacing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SKC</w:t>
            </w:r>
            <w:proofErr w:type="spellEnd"/>
            <w:r>
              <w:rPr>
                <w:rFonts w:ascii="Myriad Pro" w:hAnsi="Myriad Pro"/>
              </w:rPr>
              <w:t xml:space="preserve"> continues to work to increase opportunities for dual enrollment and pathways for high school students to smoothly transition.  One challenge to this work is that </w:t>
            </w:r>
            <w:proofErr w:type="spellStart"/>
            <w:r>
              <w:rPr>
                <w:rFonts w:ascii="Myriad Pro" w:hAnsi="Myriad Pro"/>
              </w:rPr>
              <w:t>SKC</w:t>
            </w:r>
            <w:proofErr w:type="spellEnd"/>
            <w:r>
              <w:rPr>
                <w:rFonts w:ascii="Myriad Pro" w:hAnsi="Myriad Pro"/>
              </w:rPr>
              <w:t xml:space="preserve"> is still on academic quarters, unlike the rest of the state.  An additional challenge is the 1-2-Free state program that does not include tribal colleges. However, </w:t>
            </w:r>
            <w:proofErr w:type="spellStart"/>
            <w:r>
              <w:rPr>
                <w:rFonts w:ascii="Myriad Pro" w:hAnsi="Myriad Pro"/>
              </w:rPr>
              <w:t>SKC</w:t>
            </w:r>
            <w:proofErr w:type="spellEnd"/>
            <w:r>
              <w:rPr>
                <w:rFonts w:ascii="Myriad Pro" w:hAnsi="Myriad Pro"/>
              </w:rPr>
              <w:t xml:space="preserve"> added dual enrollment in an additional two academic programs in 2021-2022 and continues to work towards programs of study in these areas. </w:t>
            </w:r>
          </w:p>
          <w:p w14:paraId="2DC26B3B" w14:textId="77777777" w:rsidR="00C20FA4" w:rsidRPr="007C486F" w:rsidRDefault="00C20FA4" w:rsidP="00164B3B">
            <w:pPr>
              <w:pStyle w:val="NoSpacing"/>
              <w:rPr>
                <w:rFonts w:ascii="Myriad Pro" w:hAnsi="Myriad Pro"/>
              </w:rPr>
            </w:pPr>
          </w:p>
        </w:tc>
      </w:tr>
      <w:tr w:rsidR="00C20FA4" w:rsidRPr="002B01FE" w14:paraId="50353D5E" w14:textId="77777777" w:rsidTr="00164B3B">
        <w:tc>
          <w:tcPr>
            <w:tcW w:w="3060" w:type="dxa"/>
            <w:vAlign w:val="center"/>
          </w:tcPr>
          <w:p w14:paraId="74962E1A" w14:textId="77777777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lastRenderedPageBreak/>
              <w:t xml:space="preserve">5: Recruitment, Retention, and </w:t>
            </w:r>
          </w:p>
          <w:p w14:paraId="40738685" w14:textId="77777777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    Training of </w:t>
            </w:r>
            <w:proofErr w:type="spellStart"/>
            <w:r w:rsidRPr="002B01FE">
              <w:rPr>
                <w:rFonts w:ascii="Myriad Pro" w:hAnsi="Myriad Pro"/>
                <w:sz w:val="20"/>
                <w:szCs w:val="20"/>
              </w:rPr>
              <w:t>CTE</w:t>
            </w:r>
            <w:proofErr w:type="spellEnd"/>
            <w:r w:rsidRPr="002B01FE">
              <w:rPr>
                <w:rFonts w:ascii="Myriad Pro" w:hAnsi="Myriad Pro"/>
                <w:sz w:val="20"/>
                <w:szCs w:val="20"/>
              </w:rPr>
              <w:t xml:space="preserve"> Faculty and  </w:t>
            </w:r>
          </w:p>
          <w:p w14:paraId="2AFC6586" w14:textId="77777777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    Staff</w:t>
            </w:r>
          </w:p>
        </w:tc>
        <w:tc>
          <w:tcPr>
            <w:tcW w:w="2160" w:type="dxa"/>
            <w:vAlign w:val="center"/>
          </w:tcPr>
          <w:p w14:paraId="2FCF8AEA" w14:textId="5817E04C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40564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39088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5309C7D0" w14:textId="2421029C" w:rsidR="00C20FA4" w:rsidRDefault="0073165E" w:rsidP="00164B3B">
            <w:pPr>
              <w:pStyle w:val="NoSpacing"/>
              <w:rPr>
                <w:rFonts w:ascii="Myriad Pro" w:hAnsi="Myriad Pro"/>
              </w:rPr>
            </w:pPr>
            <w:proofErr w:type="spellStart"/>
            <w:r>
              <w:rPr>
                <w:rFonts w:ascii="Myriad Pro" w:hAnsi="Myriad Pro"/>
              </w:rPr>
              <w:t>SKC</w:t>
            </w:r>
            <w:proofErr w:type="spellEnd"/>
            <w:r>
              <w:rPr>
                <w:rFonts w:ascii="Myriad Pro" w:hAnsi="Myriad Pro"/>
              </w:rPr>
              <w:t xml:space="preserve"> continues to use Perkins funds to ensure that faculty in </w:t>
            </w:r>
            <w:proofErr w:type="spellStart"/>
            <w:r>
              <w:rPr>
                <w:rFonts w:ascii="Myriad Pro" w:hAnsi="Myriad Pro"/>
              </w:rPr>
              <w:t>CTE</w:t>
            </w:r>
            <w:proofErr w:type="spellEnd"/>
            <w:r>
              <w:rPr>
                <w:rFonts w:ascii="Myriad Pro" w:hAnsi="Myriad Pro"/>
              </w:rPr>
              <w:t xml:space="preserve"> programs have current knowledge of their professions and maintain disciplinary accreditation.  </w:t>
            </w:r>
          </w:p>
          <w:p w14:paraId="4811068D" w14:textId="677D754C" w:rsidR="00240A0B" w:rsidRPr="007C486F" w:rsidRDefault="00240A0B" w:rsidP="00164B3B">
            <w:pPr>
              <w:pStyle w:val="NoSpacing"/>
              <w:rPr>
                <w:rFonts w:ascii="Myriad Pro" w:hAnsi="Myriad Pro"/>
              </w:rPr>
            </w:pPr>
          </w:p>
        </w:tc>
      </w:tr>
      <w:tr w:rsidR="00C20FA4" w:rsidRPr="002B01FE" w14:paraId="45DB8C76" w14:textId="77777777" w:rsidTr="00164B3B">
        <w:tc>
          <w:tcPr>
            <w:tcW w:w="3060" w:type="dxa"/>
            <w:vAlign w:val="center"/>
          </w:tcPr>
          <w:p w14:paraId="25801970" w14:textId="2A4FCB99" w:rsidR="00C20FA4" w:rsidRPr="002B01FE" w:rsidRDefault="00C20FA4" w:rsidP="00164B3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6: </w:t>
            </w:r>
            <w:r w:rsidR="00A346ED">
              <w:rPr>
                <w:rFonts w:ascii="Myriad Pro" w:hAnsi="Myriad Pro"/>
                <w:sz w:val="20"/>
                <w:szCs w:val="20"/>
              </w:rPr>
              <w:t>Progress Toward Improving Equity and Access</w:t>
            </w:r>
          </w:p>
        </w:tc>
        <w:tc>
          <w:tcPr>
            <w:tcW w:w="2160" w:type="dxa"/>
            <w:vAlign w:val="center"/>
          </w:tcPr>
          <w:p w14:paraId="3E5CB2CE" w14:textId="7AF8C9D4" w:rsidR="00C20FA4" w:rsidRPr="002B01FE" w:rsidRDefault="008C0F0B" w:rsidP="00164B3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42383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FA4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2943394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C20FA4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05446FDE" w14:textId="0703C337" w:rsidR="00C20FA4" w:rsidRDefault="0073165E" w:rsidP="00164B3B">
            <w:pPr>
              <w:pStyle w:val="NoSpacing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There are minimal apparent equity and access issues in the </w:t>
            </w:r>
            <w:proofErr w:type="spellStart"/>
            <w:r>
              <w:rPr>
                <w:rFonts w:ascii="Myriad Pro" w:hAnsi="Myriad Pro"/>
              </w:rPr>
              <w:t>CTE</w:t>
            </w:r>
            <w:proofErr w:type="spellEnd"/>
            <w:r>
              <w:rPr>
                <w:rFonts w:ascii="Myriad Pro" w:hAnsi="Myriad Pro"/>
              </w:rPr>
              <w:t xml:space="preserve"> programs.</w:t>
            </w:r>
          </w:p>
          <w:p w14:paraId="6944B07F" w14:textId="77777777" w:rsidR="00240A0B" w:rsidRPr="007C486F" w:rsidRDefault="00240A0B" w:rsidP="00164B3B">
            <w:pPr>
              <w:pStyle w:val="NoSpacing"/>
              <w:rPr>
                <w:rFonts w:ascii="Myriad Pro" w:hAnsi="Myriad Pro"/>
              </w:rPr>
            </w:pPr>
          </w:p>
          <w:p w14:paraId="2D8441C2" w14:textId="77777777" w:rsidR="00C20FA4" w:rsidRPr="007C486F" w:rsidRDefault="00C20FA4" w:rsidP="00164B3B">
            <w:pPr>
              <w:pStyle w:val="NoSpacing"/>
              <w:rPr>
                <w:rFonts w:ascii="Myriad Pro" w:hAnsi="Myriad Pro"/>
              </w:rPr>
            </w:pPr>
          </w:p>
        </w:tc>
      </w:tr>
    </w:tbl>
    <w:p w14:paraId="540AE5AC" w14:textId="77777777" w:rsidR="00240A0B" w:rsidRDefault="00240A0B" w:rsidP="00C20FA4">
      <w:pPr>
        <w:pStyle w:val="NoSpacing"/>
        <w:rPr>
          <w:rFonts w:ascii="Myriad Pro" w:hAnsi="Myriad Pro"/>
          <w:b/>
          <w:bCs/>
          <w:color w:val="0099A8"/>
          <w:sz w:val="24"/>
          <w:szCs w:val="24"/>
        </w:rPr>
      </w:pPr>
    </w:p>
    <w:p w14:paraId="12A874AB" w14:textId="7FEA2142" w:rsidR="00C20FA4" w:rsidRPr="00E8330A" w:rsidRDefault="00C20FA4" w:rsidP="00C20FA4">
      <w:pPr>
        <w:pStyle w:val="NoSpacing"/>
        <w:rPr>
          <w:rFonts w:ascii="Myriad Pro" w:hAnsi="Myriad Pro"/>
          <w:b/>
          <w:bCs/>
          <w:color w:val="0099A8"/>
          <w:sz w:val="24"/>
          <w:szCs w:val="24"/>
        </w:rPr>
      </w:pPr>
      <w:r>
        <w:rPr>
          <w:rFonts w:ascii="Myriad Pro" w:hAnsi="Myriad Pro"/>
          <w:b/>
          <w:bCs/>
          <w:color w:val="0099A8"/>
          <w:sz w:val="24"/>
          <w:szCs w:val="24"/>
        </w:rPr>
        <w:t>Process Worksheet</w:t>
      </w:r>
      <w:r w:rsidRPr="00E8330A">
        <w:rPr>
          <w:rFonts w:ascii="Myriad Pro" w:hAnsi="Myriad Pro"/>
          <w:b/>
          <w:bCs/>
          <w:color w:val="0099A8"/>
          <w:sz w:val="24"/>
          <w:szCs w:val="24"/>
        </w:rPr>
        <w:t xml:space="preserve"> 2:</w:t>
      </w:r>
    </w:p>
    <w:p w14:paraId="639089E1" w14:textId="77777777" w:rsidR="00C20FA4" w:rsidRDefault="00C20FA4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</w:p>
    <w:p w14:paraId="3B065AB3" w14:textId="7ED0FE47" w:rsidR="00C20FA4" w:rsidRPr="002B01FE" w:rsidRDefault="00AA2650" w:rsidP="00C20FA4">
      <w:pPr>
        <w:pStyle w:val="NoSpacing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 xml:space="preserve">Are the strategies outlined in the original </w:t>
      </w:r>
      <w:proofErr w:type="spellStart"/>
      <w:r>
        <w:rPr>
          <w:rFonts w:ascii="Myriad Pro" w:hAnsi="Myriad Pro"/>
          <w:b/>
          <w:bCs/>
          <w:sz w:val="24"/>
          <w:szCs w:val="24"/>
        </w:rPr>
        <w:t>CLNA</w:t>
      </w:r>
      <w:proofErr w:type="spellEnd"/>
      <w:r>
        <w:rPr>
          <w:rFonts w:ascii="Myriad Pro" w:hAnsi="Myriad Pro"/>
          <w:b/>
          <w:bCs/>
          <w:sz w:val="24"/>
          <w:szCs w:val="24"/>
        </w:rPr>
        <w:t xml:space="preserve"> still relevant?</w:t>
      </w:r>
      <w:r w:rsidR="00016291">
        <w:rPr>
          <w:rFonts w:ascii="Myriad Pro" w:hAnsi="Myriad Pro"/>
          <w:b/>
          <w:bCs/>
          <w:sz w:val="24"/>
          <w:szCs w:val="24"/>
        </w:rPr>
        <w:t xml:space="preserve"> </w:t>
      </w:r>
      <w:r w:rsidR="00C20FA4" w:rsidRPr="002B01FE">
        <w:rPr>
          <w:rFonts w:ascii="Myriad Pro" w:hAnsi="Myriad Pro"/>
          <w:b/>
          <w:bCs/>
          <w:sz w:val="24"/>
          <w:szCs w:val="24"/>
        </w:rPr>
        <w:t xml:space="preserve">Do any need to be updated? If so, please provide </w:t>
      </w:r>
      <w:r w:rsidR="00016291">
        <w:rPr>
          <w:rFonts w:ascii="Myriad Pro" w:hAnsi="Myriad Pro"/>
          <w:b/>
          <w:bCs/>
          <w:sz w:val="24"/>
          <w:szCs w:val="24"/>
        </w:rPr>
        <w:t xml:space="preserve">updated strategies and relevant activities. </w:t>
      </w:r>
      <w:r w:rsidR="00C20FA4" w:rsidRPr="002B01FE">
        <w:rPr>
          <w:rFonts w:ascii="Myriad Pro" w:hAnsi="Myriad Pro"/>
          <w:b/>
          <w:bCs/>
          <w:sz w:val="24"/>
          <w:szCs w:val="24"/>
        </w:rPr>
        <w:t xml:space="preserve"> </w:t>
      </w:r>
    </w:p>
    <w:p w14:paraId="7DD25652" w14:textId="77777777" w:rsidR="00C20FA4" w:rsidRPr="002B01FE" w:rsidRDefault="00C20FA4" w:rsidP="00C20FA4">
      <w:pPr>
        <w:pStyle w:val="NoSpacing"/>
        <w:ind w:left="720"/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970"/>
        <w:gridCol w:w="2250"/>
        <w:gridCol w:w="7020"/>
      </w:tblGrid>
      <w:tr w:rsidR="00C20FA4" w:rsidRPr="002B01FE" w14:paraId="245F2C07" w14:textId="77777777" w:rsidTr="00164B3B">
        <w:tc>
          <w:tcPr>
            <w:tcW w:w="2970" w:type="dxa"/>
            <w:shd w:val="clear" w:color="auto" w:fill="0099A8"/>
            <w:vAlign w:val="center"/>
          </w:tcPr>
          <w:p w14:paraId="09468B11" w14:textId="652A4B65" w:rsidR="00C20FA4" w:rsidRPr="007C486F" w:rsidRDefault="00403266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Section of </w:t>
            </w:r>
            <w:proofErr w:type="spellStart"/>
            <w:r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CLNA</w:t>
            </w:r>
            <w:proofErr w:type="spellEnd"/>
          </w:p>
        </w:tc>
        <w:tc>
          <w:tcPr>
            <w:tcW w:w="2250" w:type="dxa"/>
            <w:shd w:val="clear" w:color="auto" w:fill="0099A8"/>
            <w:vAlign w:val="center"/>
          </w:tcPr>
          <w:p w14:paraId="7251C7A4" w14:textId="33B4286C" w:rsidR="00C20FA4" w:rsidRPr="007C486F" w:rsidRDefault="00403266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Strategies </w:t>
            </w:r>
            <w:r w:rsidR="00C20FA4"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>Still Relevant?</w:t>
            </w:r>
          </w:p>
        </w:tc>
        <w:tc>
          <w:tcPr>
            <w:tcW w:w="7020" w:type="dxa"/>
            <w:shd w:val="clear" w:color="auto" w:fill="0099A8"/>
            <w:vAlign w:val="center"/>
          </w:tcPr>
          <w:p w14:paraId="4664CED2" w14:textId="68C533A0" w:rsidR="00C20FA4" w:rsidRPr="007C486F" w:rsidRDefault="00C20FA4" w:rsidP="00164B3B">
            <w:pPr>
              <w:pStyle w:val="NoSpacing"/>
              <w:jc w:val="center"/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</w:pPr>
            <w:r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Updated activities </w:t>
            </w:r>
            <w:r w:rsidR="00FA76CB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and </w:t>
            </w:r>
            <w:r w:rsidRPr="007C486F">
              <w:rPr>
                <w:rFonts w:ascii="Myriad Pro" w:hAnsi="Myriad Pro"/>
                <w:b/>
                <w:bCs/>
                <w:color w:val="FFFFFF" w:themeColor="background1"/>
                <w:sz w:val="24"/>
                <w:szCs w:val="24"/>
              </w:rPr>
              <w:t xml:space="preserve">strategies if available </w:t>
            </w:r>
          </w:p>
        </w:tc>
      </w:tr>
      <w:tr w:rsidR="00FA76CB" w:rsidRPr="002B01FE" w14:paraId="32611BB4" w14:textId="77777777" w:rsidTr="00164B3B">
        <w:tc>
          <w:tcPr>
            <w:tcW w:w="2970" w:type="dxa"/>
            <w:vAlign w:val="center"/>
          </w:tcPr>
          <w:p w14:paraId="7228C4EF" w14:textId="39368C1E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1: </w:t>
            </w:r>
            <w:r>
              <w:rPr>
                <w:rFonts w:ascii="Myriad Pro" w:hAnsi="Myriad Pro"/>
                <w:sz w:val="20"/>
                <w:szCs w:val="20"/>
              </w:rPr>
              <w:t>Student Performance</w:t>
            </w:r>
          </w:p>
        </w:tc>
        <w:tc>
          <w:tcPr>
            <w:tcW w:w="2250" w:type="dxa"/>
            <w:vAlign w:val="center"/>
          </w:tcPr>
          <w:p w14:paraId="2117EE1A" w14:textId="1F691F5F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511142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7389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6CB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2E1616DD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2077F7B3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35665895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A76CB" w:rsidRPr="002B01FE" w14:paraId="01E6684F" w14:textId="77777777" w:rsidTr="00164B3B">
        <w:tc>
          <w:tcPr>
            <w:tcW w:w="2970" w:type="dxa"/>
            <w:vAlign w:val="center"/>
          </w:tcPr>
          <w:p w14:paraId="52709E7C" w14:textId="26F59C82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2: </w:t>
            </w:r>
            <w:r>
              <w:rPr>
                <w:rFonts w:ascii="Myriad Pro" w:hAnsi="Myriad Pro"/>
                <w:sz w:val="20"/>
                <w:szCs w:val="20"/>
              </w:rPr>
              <w:t>Size, Scope and Quality</w:t>
            </w:r>
          </w:p>
        </w:tc>
        <w:tc>
          <w:tcPr>
            <w:tcW w:w="2250" w:type="dxa"/>
            <w:vAlign w:val="center"/>
          </w:tcPr>
          <w:p w14:paraId="457CC992" w14:textId="5D5CFD7D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1098992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17858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6CB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5F4DCDAA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46D7D49D" w14:textId="75424836" w:rsidR="00FA76CB" w:rsidRPr="002B01FE" w:rsidRDefault="0073165E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All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SKC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CTE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programs are able to accept all applicants. The one-year Certificate of Completion Programs are using the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ACTE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Quality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CTE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Program to assess program quality with the goal of completing that analysis in 2022-2023. </w:t>
            </w:r>
          </w:p>
          <w:p w14:paraId="61046D6A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A76CB" w:rsidRPr="002B01FE" w14:paraId="19B2236F" w14:textId="77777777" w:rsidTr="00164B3B">
        <w:tc>
          <w:tcPr>
            <w:tcW w:w="2970" w:type="dxa"/>
            <w:vAlign w:val="center"/>
          </w:tcPr>
          <w:p w14:paraId="1920C8B8" w14:textId="0FFFCB68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3: </w:t>
            </w:r>
            <w:r>
              <w:rPr>
                <w:rFonts w:ascii="Myriad Pro" w:hAnsi="Myriad Pro"/>
                <w:sz w:val="20"/>
                <w:szCs w:val="20"/>
              </w:rPr>
              <w:t>Labor Market Alignment</w:t>
            </w:r>
            <w:r w:rsidRPr="002B01FE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9C0FBE2" w14:textId="214B6A09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3183915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7457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76CB" w:rsidRPr="002B01F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1B8BDA0E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5F391377" w14:textId="1504DFB4" w:rsidR="00FA76CB" w:rsidRPr="002B01FE" w:rsidRDefault="00777D56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 xml:space="preserve">Healthcare, Education, Construction/Transportation continue to be occupations predicted to expand in through 2028. Montana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DOL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projections do not include tribal employee needs</w:t>
            </w:r>
            <w:r w:rsidR="004F4E3E">
              <w:rPr>
                <w:rFonts w:ascii="Myriad Pro" w:hAnsi="Myriad Pro"/>
                <w:sz w:val="24"/>
                <w:szCs w:val="24"/>
              </w:rPr>
              <w:t xml:space="preserve">, which include natural resources management and tribal government employees. Tractor/Trailer operators, bookkeeping and accounting clerks, medical assistants, K-12 teachers, dental assistants, chemical dependency counselors, and project management/business operations managers are all included in the Montana </w:t>
            </w:r>
            <w:proofErr w:type="spellStart"/>
            <w:r w:rsidR="004F4E3E">
              <w:rPr>
                <w:rFonts w:ascii="Myriad Pro" w:hAnsi="Myriad Pro"/>
                <w:sz w:val="24"/>
                <w:szCs w:val="24"/>
              </w:rPr>
              <w:t>DOL</w:t>
            </w:r>
            <w:proofErr w:type="spellEnd"/>
            <w:r w:rsidR="004F4E3E">
              <w:rPr>
                <w:rFonts w:ascii="Myriad Pro" w:hAnsi="Myriad Pro"/>
                <w:sz w:val="24"/>
                <w:szCs w:val="24"/>
              </w:rPr>
              <w:t xml:space="preserve"> Montana Employment and Labor Force Projections as career areas anticipated to increase in need.  See attached labor market projections. </w:t>
            </w:r>
            <w:r>
              <w:rPr>
                <w:rFonts w:ascii="Myriad Pro" w:hAnsi="Myriad Pro"/>
                <w:sz w:val="24"/>
                <w:szCs w:val="24"/>
              </w:rPr>
              <w:t xml:space="preserve"> </w:t>
            </w:r>
          </w:p>
          <w:p w14:paraId="2BACA7E7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A76CB" w:rsidRPr="002B01FE" w14:paraId="64FACEA7" w14:textId="77777777" w:rsidTr="00164B3B">
        <w:tc>
          <w:tcPr>
            <w:tcW w:w="2970" w:type="dxa"/>
            <w:vAlign w:val="center"/>
          </w:tcPr>
          <w:p w14:paraId="62061CFC" w14:textId="03676EFB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lastRenderedPageBreak/>
              <w:t xml:space="preserve">4: </w:t>
            </w:r>
            <w:r>
              <w:rPr>
                <w:rFonts w:ascii="Myriad Pro" w:hAnsi="Myriad Pro"/>
                <w:sz w:val="20"/>
                <w:szCs w:val="20"/>
              </w:rPr>
              <w:t xml:space="preserve">Progress Toward Implementing </w:t>
            </w:r>
            <w:proofErr w:type="spellStart"/>
            <w:r>
              <w:rPr>
                <w:rFonts w:ascii="Myriad Pro" w:hAnsi="Myriad Pro"/>
                <w:sz w:val="20"/>
                <w:szCs w:val="20"/>
              </w:rPr>
              <w:t>CTE</w:t>
            </w:r>
            <w:proofErr w:type="spellEnd"/>
            <w:r>
              <w:rPr>
                <w:rFonts w:ascii="Myriad Pro" w:hAnsi="Myriad Pro"/>
                <w:sz w:val="20"/>
                <w:szCs w:val="20"/>
              </w:rPr>
              <w:t xml:space="preserve"> Programs/Programs of Study</w:t>
            </w:r>
            <w:r w:rsidRPr="002B01FE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1F92CA36" w14:textId="0FC122C4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-945221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27101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5D644B36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6BA64F66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6640F4C3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A76CB" w:rsidRPr="002B01FE" w14:paraId="0277B72A" w14:textId="77777777" w:rsidTr="00164B3B">
        <w:tc>
          <w:tcPr>
            <w:tcW w:w="2970" w:type="dxa"/>
            <w:vAlign w:val="center"/>
          </w:tcPr>
          <w:p w14:paraId="10EBF9B9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5: Recruitment, Retention, and </w:t>
            </w:r>
          </w:p>
          <w:p w14:paraId="47D7DF23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    Training of </w:t>
            </w:r>
            <w:proofErr w:type="spellStart"/>
            <w:r w:rsidRPr="002B01FE">
              <w:rPr>
                <w:rFonts w:ascii="Myriad Pro" w:hAnsi="Myriad Pro"/>
                <w:sz w:val="20"/>
                <w:szCs w:val="20"/>
              </w:rPr>
              <w:t>CTE</w:t>
            </w:r>
            <w:proofErr w:type="spellEnd"/>
            <w:r w:rsidRPr="002B01FE">
              <w:rPr>
                <w:rFonts w:ascii="Myriad Pro" w:hAnsi="Myriad Pro"/>
                <w:sz w:val="20"/>
                <w:szCs w:val="20"/>
              </w:rPr>
              <w:t xml:space="preserve"> Faculty and  </w:t>
            </w:r>
          </w:p>
          <w:p w14:paraId="0698FDE3" w14:textId="3F980CA5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    Staff</w:t>
            </w:r>
          </w:p>
        </w:tc>
        <w:tc>
          <w:tcPr>
            <w:tcW w:w="2250" w:type="dxa"/>
            <w:vAlign w:val="center"/>
          </w:tcPr>
          <w:p w14:paraId="3650AAD5" w14:textId="527DC0B9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2019426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14854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4FB67E27" w14:textId="25869231" w:rsidR="00FA76CB" w:rsidRPr="002B01FE" w:rsidRDefault="0073165E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  <w:proofErr w:type="spellStart"/>
            <w:r>
              <w:rPr>
                <w:rFonts w:ascii="Myriad Pro" w:hAnsi="Myriad Pro"/>
                <w:sz w:val="24"/>
                <w:szCs w:val="24"/>
              </w:rPr>
              <w:t>SKC’s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salaries continue to be a limiting factor in recruiting and retaining </w:t>
            </w:r>
            <w:proofErr w:type="spellStart"/>
            <w:r>
              <w:rPr>
                <w:rFonts w:ascii="Myriad Pro" w:hAnsi="Myriad Pro"/>
                <w:sz w:val="24"/>
                <w:szCs w:val="24"/>
              </w:rPr>
              <w:t>CTE</w:t>
            </w:r>
            <w:proofErr w:type="spellEnd"/>
            <w:r>
              <w:rPr>
                <w:rFonts w:ascii="Myriad Pro" w:hAnsi="Myriad Pro"/>
                <w:sz w:val="24"/>
                <w:szCs w:val="24"/>
              </w:rPr>
              <w:t xml:space="preserve"> faculty, but the College is unable to offer disparate salaries using Perkins funding to alleviate this issue.  </w:t>
            </w:r>
          </w:p>
          <w:p w14:paraId="271270AA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09790313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FA76CB" w:rsidRPr="002B01FE" w14:paraId="2D95E37D" w14:textId="77777777" w:rsidTr="00164B3B">
        <w:tc>
          <w:tcPr>
            <w:tcW w:w="2970" w:type="dxa"/>
            <w:vAlign w:val="center"/>
          </w:tcPr>
          <w:p w14:paraId="45BA6FC5" w14:textId="2CCFB520" w:rsidR="00FA76CB" w:rsidRPr="002B01FE" w:rsidRDefault="00FA76CB" w:rsidP="00FA76CB">
            <w:pPr>
              <w:pStyle w:val="NoSpacing"/>
              <w:rPr>
                <w:rFonts w:ascii="Myriad Pro" w:hAnsi="Myriad Pro"/>
                <w:sz w:val="20"/>
                <w:szCs w:val="20"/>
              </w:rPr>
            </w:pPr>
            <w:r w:rsidRPr="002B01FE">
              <w:rPr>
                <w:rFonts w:ascii="Myriad Pro" w:hAnsi="Myriad Pro"/>
                <w:sz w:val="20"/>
                <w:szCs w:val="20"/>
              </w:rPr>
              <w:t xml:space="preserve">6: </w:t>
            </w:r>
            <w:r>
              <w:rPr>
                <w:rFonts w:ascii="Myriad Pro" w:hAnsi="Myriad Pro"/>
                <w:sz w:val="20"/>
                <w:szCs w:val="20"/>
              </w:rPr>
              <w:t>Progress Toward Improving Equity and Access</w:t>
            </w:r>
          </w:p>
        </w:tc>
        <w:tc>
          <w:tcPr>
            <w:tcW w:w="2250" w:type="dxa"/>
            <w:vAlign w:val="center"/>
          </w:tcPr>
          <w:p w14:paraId="1C5EA42D" w14:textId="05F4D553" w:rsidR="00FA76CB" w:rsidRPr="002B01FE" w:rsidRDefault="008C0F0B" w:rsidP="00FA76CB">
            <w:pPr>
              <w:pStyle w:val="NoSpacing"/>
              <w:jc w:val="center"/>
              <w:rPr>
                <w:rFonts w:ascii="Myriad Pro" w:hAnsi="Myriad Pro"/>
                <w:sz w:val="24"/>
                <w:szCs w:val="24"/>
              </w:rPr>
            </w:pPr>
            <w:sdt>
              <w:sdtPr>
                <w:rPr>
                  <w:rFonts w:ascii="Myriad Pro" w:hAnsi="Myriad Pro"/>
                  <w:sz w:val="24"/>
                  <w:szCs w:val="24"/>
                </w:rPr>
                <w:id w:val="14392606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Yes     </w:t>
            </w:r>
            <w:sdt>
              <w:sdtPr>
                <w:rPr>
                  <w:rFonts w:ascii="Myriad Pro" w:hAnsi="Myriad Pro"/>
                  <w:sz w:val="24"/>
                  <w:szCs w:val="24"/>
                </w:rPr>
                <w:id w:val="-42126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5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A76CB" w:rsidRPr="002B01FE">
              <w:rPr>
                <w:rFonts w:ascii="Myriad Pro" w:hAnsi="Myriad Pro"/>
                <w:sz w:val="24"/>
                <w:szCs w:val="24"/>
              </w:rPr>
              <w:t xml:space="preserve"> No</w:t>
            </w:r>
          </w:p>
        </w:tc>
        <w:tc>
          <w:tcPr>
            <w:tcW w:w="7020" w:type="dxa"/>
            <w:vAlign w:val="center"/>
          </w:tcPr>
          <w:p w14:paraId="75CD0106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54AD499A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  <w:p w14:paraId="16ED6DB1" w14:textId="77777777" w:rsidR="00FA76CB" w:rsidRPr="002B01FE" w:rsidRDefault="00FA76CB" w:rsidP="00FA76CB">
            <w:pPr>
              <w:pStyle w:val="NoSpacing"/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500D5CDE" w14:textId="0CEA300A" w:rsidR="00C20FA4" w:rsidRDefault="00C20FA4" w:rsidP="00C20FA4">
      <w:pPr>
        <w:jc w:val="center"/>
      </w:pPr>
    </w:p>
    <w:p w14:paraId="0F41A835" w14:textId="79E38C16" w:rsidR="0085542D" w:rsidRPr="0073165E" w:rsidRDefault="0073165E" w:rsidP="0073165E">
      <w:pPr>
        <w:rPr>
          <w:sz w:val="32"/>
          <w:szCs w:val="32"/>
        </w:rPr>
      </w:pPr>
      <w:r w:rsidRPr="0073165E">
        <w:rPr>
          <w:sz w:val="32"/>
          <w:szCs w:val="32"/>
        </w:rPr>
        <w:t xml:space="preserve">Analysis of Montana Employment Trends and </w:t>
      </w:r>
      <w:proofErr w:type="spellStart"/>
      <w:r w:rsidRPr="0073165E">
        <w:rPr>
          <w:sz w:val="32"/>
          <w:szCs w:val="32"/>
        </w:rPr>
        <w:t>SKC</w:t>
      </w:r>
      <w:proofErr w:type="spellEnd"/>
      <w:r w:rsidRPr="0073165E">
        <w:rPr>
          <w:sz w:val="32"/>
          <w:szCs w:val="32"/>
        </w:rPr>
        <w:t xml:space="preserve"> Programs</w:t>
      </w:r>
    </w:p>
    <w:tbl>
      <w:tblPr>
        <w:tblW w:w="13500" w:type="dxa"/>
        <w:tblLook w:val="04A0" w:firstRow="1" w:lastRow="0" w:firstColumn="1" w:lastColumn="0" w:noHBand="0" w:noVBand="1"/>
      </w:tblPr>
      <w:tblGrid>
        <w:gridCol w:w="3099"/>
        <w:gridCol w:w="1200"/>
        <w:gridCol w:w="1060"/>
        <w:gridCol w:w="1308"/>
        <w:gridCol w:w="1095"/>
        <w:gridCol w:w="1580"/>
        <w:gridCol w:w="1680"/>
        <w:gridCol w:w="1320"/>
        <w:gridCol w:w="1300"/>
      </w:tblGrid>
      <w:tr w:rsidR="0085542D" w:rsidRPr="0085542D" w14:paraId="7E5940A7" w14:textId="77777777" w:rsidTr="0085542D">
        <w:trPr>
          <w:trHeight w:val="840"/>
        </w:trPr>
        <w:tc>
          <w:tcPr>
            <w:tcW w:w="3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998CE3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MAJOR1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BEABD7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MAJ1CIP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D34CF7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554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SOC</w:t>
            </w:r>
            <w:proofErr w:type="spellEnd"/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D3C954C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employment rise Montana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3837DC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average wage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C3D60D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special pops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6F7967A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 xml:space="preserve">aligned </w:t>
            </w:r>
            <w:proofErr w:type="spellStart"/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stdrds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54936D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dual credit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A86C8D" w14:textId="77777777" w:rsidR="0085542D" w:rsidRPr="0085542D" w:rsidRDefault="0085542D" w:rsidP="0085542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542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in demand</w:t>
            </w:r>
          </w:p>
        </w:tc>
      </w:tr>
      <w:tr w:rsidR="0085542D" w:rsidRPr="0085542D" w14:paraId="1AB3F648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1238EF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Administrative </w:t>
            </w:r>
            <w:proofErr w:type="spellStart"/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31F02CF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52.0401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BBC52D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43-3031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87FA2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93B955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$37,620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39903A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5ECA34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7FF69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425016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53CC2334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F988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Management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93EC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52.0201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A37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13-1198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16AA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782F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$64,600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89C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586F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87C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5F0D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1B7C944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96F658B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Dependency Counseling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9775AA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51.1501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89D160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21-1023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43228D1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7.90%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54A4B5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$38,820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3F71D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A0041BF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6E6E5A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305D48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22C322EB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F756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Dental Assisting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2F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51.0601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C567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31-9091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CFB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8.90%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99E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$37,330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521D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E24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D8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A24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01544660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1F4BBE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 Design Tech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2A97E9B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11.0801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6ADE3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27-1024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DAEE7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8.30%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FC38CF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$43,410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1C194B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E031FA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8E1EF22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9FBE4B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6090961F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7F8F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Early Childhood 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4AA4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13.1210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7C0A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25-2011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50A5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8895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$32,650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9047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698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4E6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1A08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1330E3E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DC0EB6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Elementary 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62D21BB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13.1202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73AC99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25-2021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B11CC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7.10%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A91AA3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$50,270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6FC918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82441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7AB377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C43D444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41B4D24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3CB0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Emergency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EF74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43.0302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DB8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29-2040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BDB4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16.70%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827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$34,090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4A5F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FB33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A173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B562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20D17A47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66B1E12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Pre-engineering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66D50AA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14.0101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BC3F1B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CDD53D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 listed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D7A4441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not listed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69922D7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DA78E8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75D3E37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F28870B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4B1A8841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1FF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Forestry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B230F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03.0510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E4F8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19-1032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D4DC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2.30%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E2CC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$59,130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9503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52F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43B2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AA1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0339F25A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3E9F32A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General Science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1226C05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24.0102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096ECE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19-4099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0A779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3.30%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9B8FE4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$39,510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7EBC6B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34213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9EC268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38F1588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19CE5DE2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2868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Grants Assistant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0316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52.0211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D43A6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13-1198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1D48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3.40%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352A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$42,400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5636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3A2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7AA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571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6C470CA6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F46DFC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Health Promotion Practices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2C2FF1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51.2207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3810C3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21-1091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E7C50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9.70%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57DB219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$49,220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2647C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9D0101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3C3711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195E64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631093E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32D6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Highway Construction Training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49BC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49.0299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D6CDE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47-2073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43A3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5.30%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9207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$53,400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F58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085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E46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1B81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59447AC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3C6026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Hydrology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41565E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03.0205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29B0F58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19-9045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A8697B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36.20%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4E3443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$65,580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BDA69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AD9AD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219ABA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DDA950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1F1D31EC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7451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Information Technology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1114E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11.0103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AED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15-1231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C48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31.60%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46B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$54,970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B89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7E30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A36B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319D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7747D23E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10F510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Mathematical Science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9647D9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13.1311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F4F0BED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689507F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7.20%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CE20A53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$70,100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6B30B76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DCB8AB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494F740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DE469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63D94FC9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933B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Assisting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F7E8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51.0710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03EF8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31-9092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9911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6.20%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0D5F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$36,980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DA71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EE3B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045B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F65F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2A376233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2D6B17B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Medical Office Profession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1637EE5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07EE69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51F61B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B5B39FB" w14:textId="77777777" w:rsidR="0085542D" w:rsidRPr="0085542D" w:rsidRDefault="0085542D" w:rsidP="0085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5CC452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8861894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B69A1B5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6D8294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6C21FBF8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10BA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Psychology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6D04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42.0101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E3D5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21-1099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0C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</w:pPr>
            <w:r w:rsidRPr="0085542D"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</w:rPr>
              <w:t>12%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35CD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$43,400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E392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39AD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490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B80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0A3E0694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ECC5CF7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Tribal Administration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11763F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52.0213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9620A43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31-3010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3093E3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6.40%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A66CB7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$42,960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EA58F0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06DFF8E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F19A8A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C28390" w14:textId="77777777" w:rsidR="0085542D" w:rsidRPr="0085542D" w:rsidRDefault="0085542D" w:rsidP="00855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542D" w:rsidRPr="0085542D" w14:paraId="4303C81B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863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Tribal Historic Preservation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3F6A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30.1202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C137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19-3091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309F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12.50%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3534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$61,880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E5E1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C85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CF7C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70A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85542D" w:rsidRPr="0085542D" w14:paraId="35CC3781" w14:textId="77777777" w:rsidTr="0085542D">
        <w:trPr>
          <w:trHeight w:val="285"/>
        </w:trPr>
        <w:tc>
          <w:tcPr>
            <w:tcW w:w="3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3207CF1" w14:textId="77777777" w:rsidR="0085542D" w:rsidRPr="0085542D" w:rsidRDefault="0085542D" w:rsidP="008554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542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Wildlife and Fisheries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065E7D2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03.0601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307B1498" w14:textId="77777777" w:rsidR="0085542D" w:rsidRPr="0085542D" w:rsidRDefault="0085542D" w:rsidP="00855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19-1023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7CD1E9A0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7.80%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1BFC9A3C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$68,070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44B5B40E" w14:textId="77777777" w:rsidR="0085542D" w:rsidRPr="0085542D" w:rsidRDefault="0085542D" w:rsidP="008554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9C96923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0ED31459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9D9D9" w:fill="D9D9D9"/>
            <w:noWrap/>
            <w:vAlign w:val="bottom"/>
            <w:hideMark/>
          </w:tcPr>
          <w:p w14:paraId="52C04963" w14:textId="77777777" w:rsidR="0085542D" w:rsidRPr="0085542D" w:rsidRDefault="0085542D" w:rsidP="008554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54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</w:tbl>
    <w:p w14:paraId="4E616A6C" w14:textId="77777777" w:rsidR="0085542D" w:rsidRPr="00C20FA4" w:rsidRDefault="0085542D" w:rsidP="00C20FA4">
      <w:pPr>
        <w:jc w:val="center"/>
      </w:pPr>
    </w:p>
    <w:sectPr w:rsidR="0085542D" w:rsidRPr="00C20FA4" w:rsidSect="00C20FA4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B1D4C" w14:textId="77777777" w:rsidR="00E30F68" w:rsidRDefault="00E30F68" w:rsidP="00C20FA4">
      <w:pPr>
        <w:spacing w:after="0" w:line="240" w:lineRule="auto"/>
      </w:pPr>
      <w:r>
        <w:separator/>
      </w:r>
    </w:p>
  </w:endnote>
  <w:endnote w:type="continuationSeparator" w:id="0">
    <w:p w14:paraId="4FCB7A16" w14:textId="77777777" w:rsidR="00E30F68" w:rsidRDefault="00E30F68" w:rsidP="00C2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562C" w14:textId="026DBC8B" w:rsidR="00C20FA4" w:rsidRPr="00C20FA4" w:rsidRDefault="00C20FA4" w:rsidP="00C20FA4">
    <w:pPr>
      <w:pStyle w:val="Footer"/>
      <w:jc w:val="right"/>
      <w:rPr>
        <w:rFonts w:ascii="Myriad Pro" w:hAnsi="Myriad 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6CB4" w14:textId="77777777" w:rsidR="00E30F68" w:rsidRDefault="00E30F68" w:rsidP="00C20FA4">
      <w:pPr>
        <w:spacing w:after="0" w:line="240" w:lineRule="auto"/>
      </w:pPr>
      <w:r>
        <w:separator/>
      </w:r>
    </w:p>
  </w:footnote>
  <w:footnote w:type="continuationSeparator" w:id="0">
    <w:p w14:paraId="3E8E87E0" w14:textId="77777777" w:rsidR="00E30F68" w:rsidRDefault="00E30F68" w:rsidP="00C20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4"/>
    <w:rsid w:val="00016291"/>
    <w:rsid w:val="00225904"/>
    <w:rsid w:val="00240A0B"/>
    <w:rsid w:val="00257AAA"/>
    <w:rsid w:val="00302DCB"/>
    <w:rsid w:val="00391814"/>
    <w:rsid w:val="00403266"/>
    <w:rsid w:val="004174B5"/>
    <w:rsid w:val="00422099"/>
    <w:rsid w:val="004932AA"/>
    <w:rsid w:val="004F4E3E"/>
    <w:rsid w:val="004F65DF"/>
    <w:rsid w:val="00696AAA"/>
    <w:rsid w:val="006E498A"/>
    <w:rsid w:val="0073165E"/>
    <w:rsid w:val="00777D56"/>
    <w:rsid w:val="008118F4"/>
    <w:rsid w:val="0085542D"/>
    <w:rsid w:val="008C0F0B"/>
    <w:rsid w:val="008C57A8"/>
    <w:rsid w:val="009232ED"/>
    <w:rsid w:val="00986B88"/>
    <w:rsid w:val="009F5A42"/>
    <w:rsid w:val="00A346ED"/>
    <w:rsid w:val="00A77E00"/>
    <w:rsid w:val="00AA2650"/>
    <w:rsid w:val="00BC2F44"/>
    <w:rsid w:val="00C20FA4"/>
    <w:rsid w:val="00C658CF"/>
    <w:rsid w:val="00C81FEF"/>
    <w:rsid w:val="00D64C8F"/>
    <w:rsid w:val="00D7036A"/>
    <w:rsid w:val="00DD12ED"/>
    <w:rsid w:val="00E30F68"/>
    <w:rsid w:val="00F71F3A"/>
    <w:rsid w:val="00FA76CB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6AD0"/>
  <w15:chartTrackingRefBased/>
  <w15:docId w15:val="{BC64F410-B6C8-4076-ACE9-F3DC0CCA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E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0FA4"/>
    <w:pPr>
      <w:spacing w:after="0" w:line="240" w:lineRule="auto"/>
    </w:pPr>
  </w:style>
  <w:style w:type="table" w:styleId="TableGrid">
    <w:name w:val="Table Grid"/>
    <w:basedOn w:val="TableNormal"/>
    <w:uiPriority w:val="59"/>
    <w:rsid w:val="00C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20FA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FA4"/>
  </w:style>
  <w:style w:type="paragraph" w:styleId="Footer">
    <w:name w:val="footer"/>
    <w:basedOn w:val="Normal"/>
    <w:link w:val="FooterChar"/>
    <w:uiPriority w:val="99"/>
    <w:unhideWhenUsed/>
    <w:rsid w:val="00C2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FA4"/>
  </w:style>
  <w:style w:type="paragraph" w:customStyle="1" w:styleId="CoverPageTitle-CTETemplate">
    <w:name w:val="Cover Page Title - CTE Template"/>
    <w:basedOn w:val="Normal"/>
    <w:qFormat/>
    <w:rsid w:val="009232ED"/>
    <w:pPr>
      <w:spacing w:after="0" w:line="240" w:lineRule="auto"/>
      <w:jc w:val="center"/>
    </w:pPr>
    <w:rPr>
      <w:rFonts w:ascii="Arial" w:eastAsia="Calibri" w:hAnsi="Arial" w:cs="Arial"/>
      <w:caps/>
      <w:sz w:val="32"/>
      <w:szCs w:val="32"/>
      <w:u w:val="single"/>
    </w:rPr>
  </w:style>
  <w:style w:type="paragraph" w:customStyle="1" w:styleId="Subtitle-CTETemplate">
    <w:name w:val="Subtitle - CTE Template"/>
    <w:basedOn w:val="Normal"/>
    <w:qFormat/>
    <w:rsid w:val="009232ED"/>
    <w:pPr>
      <w:spacing w:after="0" w:line="240" w:lineRule="auto"/>
      <w:jc w:val="center"/>
    </w:pPr>
    <w:rPr>
      <w:rFonts w:ascii="Arial" w:eastAsia="Calibri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C7B0772768424598BC74DBB7CC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B6FE1-A62A-4CEE-9DFB-E131959B99FE}"/>
      </w:docPartPr>
      <w:docPartBody>
        <w:p w:rsidR="00146908" w:rsidRDefault="00727BB8" w:rsidP="00727BB8">
          <w:pPr>
            <w:pStyle w:val="8DC7B0772768424598BC74DBB7CCE21D"/>
          </w:pPr>
          <w:r w:rsidRPr="00104C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B8"/>
    <w:rsid w:val="00146908"/>
    <w:rsid w:val="00163A4B"/>
    <w:rsid w:val="0072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BB8"/>
    <w:rPr>
      <w:color w:val="808080"/>
    </w:rPr>
  </w:style>
  <w:style w:type="paragraph" w:customStyle="1" w:styleId="8DC7B0772768424598BC74DBB7CCE21D">
    <w:name w:val="8DC7B0772768424598BC74DBB7CCE21D"/>
    <w:rsid w:val="00727BB8"/>
  </w:style>
  <w:style w:type="paragraph" w:customStyle="1" w:styleId="F406A1C19D68433D83E121C19339EA8D">
    <w:name w:val="F406A1C19D68433D83E121C19339EA8D"/>
    <w:rsid w:val="00727B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Katie</dc:creator>
  <cp:keywords/>
  <dc:description/>
  <cp:lastModifiedBy>admsas</cp:lastModifiedBy>
  <cp:revision>2</cp:revision>
  <dcterms:created xsi:type="dcterms:W3CDTF">2022-05-20T20:15:00Z</dcterms:created>
  <dcterms:modified xsi:type="dcterms:W3CDTF">2022-05-20T20:15:00Z</dcterms:modified>
</cp:coreProperties>
</file>